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Regulamin Samorządu Uczniowskiego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Times New Roman"/>
          <w:b/>
          <w:bCs/>
          <w:sz w:val="24"/>
          <w:szCs w:val="24"/>
        </w:rPr>
        <w:t>w Zespole Szkół Budowlanych im. Księcia Jerzego II Piasta w Brzegu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 xml:space="preserve">Uchwalono na podst. </w:t>
      </w:r>
      <w:bookmarkStart w:id="0" w:name="_Hlk490428256"/>
      <w:bookmarkEnd w:id="0"/>
      <w:r>
        <w:rPr>
          <w:rFonts w:eastAsia="Calibri" w:cs="Times New Roman"/>
          <w:szCs w:val="24"/>
        </w:rPr>
        <w:t>art. 85 ustawy z 14 grudnia 2016 r. – Prawo oświatowe.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1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uczniowski stanowią wszyscy uczniowie szkoły.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Władzami samorządu uczniowskiego są: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szczeblu klas - samorządy klasowe,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szczeblu szkoły – prezydium samorządu uczniowskiego.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Prezydium składa się z następujących funkcji: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samorządu,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zastępca przewodniczącego,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skarbnik,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sekretarz,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członkowie prezydium.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Członkowie prezydium wybierani są przez ogół uczniów poprzez wyłanianie przedstawicieli klas na zebraniach klasowych.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wybierany jest przez ogół uczniów w głosowaniu tajnym, równym i powszechnym spośród zaproponowanych kandydatów.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sz w:val="24"/>
          <w:szCs w:val="24"/>
        </w:rPr>
        <w:t>Wybory odbywają się w ostatnim tygodniu września roku szkolnego.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Wybory są prowadzone pod nadzorem nauczyciela pełniącego obowiązki opiekuna samorządu.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Wybory do władz samorządu poprzedza kampania wyborcza organizowana przez sztaby wyborcze poszczególnych kandydatów.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Przewodniczącym zostaje kandydat, który uzyskał największą liczbę głosów.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Kadencja prezydium trwa rok.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z uzasadnionej przyczyny może podać się do dymisji przed upływem kadencji.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może ze swojego składu wyłonić radę wolontariatu.</w:t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2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jawnej i umotywowanej oceny postępów w nauce i zachowaniu;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redagowania i wydawania gazety szkolnej;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ind w:left="1418" w:hanging="36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wyboru nauczyciela pełniącego rolę opiekuna samorządu.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Kompetencje stanowiące samorządu uczniowskiego: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uchwalanie regulaminu samorządu uczniowskiego,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przedstawienie sporządzonych przez samorząd uczniowski wniosków o przyznanie uczniom stypendium Prezesa Rady Ministrów.</w:t>
      </w:r>
    </w:p>
    <w:p>
      <w:pPr>
        <w:pStyle w:val="Normal"/>
        <w:numPr>
          <w:ilvl w:val="0"/>
          <w:numId w:val="4"/>
        </w:numPr>
        <w:spacing w:lineRule="auto" w:line="240" w:before="24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Kompetencje opiniodawcze samorządu uczniowskiego: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sz w:val="24"/>
          <w:szCs w:val="24"/>
        </w:rPr>
        <w:t xml:space="preserve">opinia w sprawie wyznaczenia na początku etapu edukacyjnego dla danego oddziału lub zespołu od 2 do 4 przedmiotów, ujętych w podstawie programowej w zakresie rozszerzonym – dotyczy technikum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opiniowanie programu wychowawczego szkoły,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wnioskowanie o nadanie imienia szkole,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opiniowanie wniosku dyrektora szkoły ponadgimnazjalnej o skreślenie ucznia z listy uczniów,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ustalenie dodatkowych dni wolnych od zajęć dydaktyczno-wychowawczych,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ustalenie dodatkowych dni wolnych od zajęć dydaktyczno-wychowawczych, innych niż określonych w § 5 ust. 1 rozporządzenia MEN z 11 sierpnia 2017 z r. w sprawie organizacji roku szkolnego (Dz.U. z 2017 r., poz. 1603)</w:t>
      </w:r>
    </w:p>
    <w:p>
      <w:pPr>
        <w:pStyle w:val="Normal"/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3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Opiekuna samorządu uczniowskiego wybierany jest w wyborach powszechnych. równych, bezpośrednich lub w głosowaniu tajnym przez SU spośród kandydatów zaproponowanych przez uczniów.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pełni funkcję doradczą samorządu.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samorządu uczniowskiego uzyskuje status stałego obserwatora obrad prezydium i koordynatora działalności samorządu.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Samorządu może w uzasadnionych przypadkach podać się do dymisji.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Kadencja opiekuna samorządu uczniowskiego trwa dwa lata.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4.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Decyzje podjęte przez samorząd uczniowski muszą być zatwierdzone przez dyrektora szkoły.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15" w:hanging="555"/>
      </w:pPr>
      <w:rPr>
        <w:rFonts w:cs="Times New Roman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f39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4f39"/>
    <w:rPr>
      <w:rFonts w:ascii="Calibri" w:hAnsi="Calibri" w:eastAsia="Times New Roman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4f39"/>
    <w:rPr>
      <w:rFonts w:ascii="Calibri" w:hAnsi="Calibri" w:eastAsia="Times New Roman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94f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94f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3</Pages>
  <Words>595</Words>
  <Characters>3929</Characters>
  <CharactersWithSpaces>4426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2021-08-31T19:21:00Z</dcterms:created>
  <dc:creator>Monika Fidler</dc:creator>
  <dc:description/>
  <dc:language>pl-PL</dc:language>
  <cp:lastModifiedBy>wf</cp:lastModifiedBy>
  <dcterms:modified xsi:type="dcterms:W3CDTF">2021-08-31T19:21:00Z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